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9" w:type="dxa"/>
        <w:tblLayout w:type="fixed"/>
        <w:tblCellMar>
          <w:top w:w="20" w:type="dxa"/>
          <w:left w:w="40" w:type="dxa"/>
          <w:bottom w:w="20" w:type="dxa"/>
          <w:right w:w="40" w:type="dxa"/>
        </w:tblCellMar>
        <w:tblLook w:val="0480" w:firstRow="0" w:lastRow="0" w:firstColumn="1" w:lastColumn="0" w:noHBand="0" w:noVBand="1"/>
      </w:tblPr>
      <w:tblGrid>
        <w:gridCol w:w="2160"/>
        <w:gridCol w:w="1441"/>
        <w:gridCol w:w="5040"/>
        <w:gridCol w:w="2879"/>
        <w:gridCol w:w="719"/>
        <w:gridCol w:w="1300"/>
        <w:gridCol w:w="860"/>
      </w:tblGrid>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bookmarkStart w:id="0" w:name="_GoBack"/>
            <w:bookmarkEnd w:id="0"/>
            <w:r w:rsidRPr="00AB4588">
              <w:rPr>
                <w:rFonts w:ascii="TimesNewRoman" w:hAnsi="TimesNewRoman" w:cs="Courier New"/>
                <w:sz w:val="20"/>
              </w:rPr>
              <w:t>Anticipated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Anticipated</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that the transaction is expected or anticipated to occur in the current fiscal year.</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N - No,</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Y - Yes</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USSGL</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USSGL</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Apportionment Category B Program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Apport Cat B</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The code representing the category A/B and B program used on the SF 132 apportionment schedule. Apportionment Category B Program Code is a four digit number that represents a line on the apportionment schedule. The category B program code is required if the apportionment category is A/B or B. Category B programs are subject to the Anti-Deficiency Act.</w:t>
            </w:r>
          </w:p>
        </w:tc>
        <w:tc>
          <w:tcPr>
            <w:tcW w:w="287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 Apportionment Category B Program Code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4/N</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Apportionment Category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Apport Cat</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Identifies OMB apportionments by quarters (Category A) or by other specified time periods, programs, activities, projects, objects, or combinations of these (Category B), or are not subject to apportionment (Category E).</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 - Category A - Quarterly Apportionments,</w:t>
            </w:r>
          </w:p>
          <w:p w:rsidR="00AB4588" w:rsidRDefault="00AB4588" w:rsidP="00DA40C1">
            <w:pPr>
              <w:pStyle w:val="PlainText"/>
              <w:rPr>
                <w:rFonts w:ascii="TimesNewRoman" w:hAnsi="TimesNewRoman" w:cs="Courier New"/>
                <w:sz w:val="20"/>
              </w:rPr>
            </w:pPr>
            <w:r>
              <w:rPr>
                <w:rFonts w:ascii="TimesNewRoman" w:hAnsi="TimesNewRoman" w:cs="Courier New"/>
                <w:sz w:val="20"/>
              </w:rPr>
              <w:t>B - Category B - Apportionments other than quarterly,</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E - Exempt from Apportionment</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Authority Type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Auth Type Code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B - Borrowing Authority,</w:t>
            </w:r>
          </w:p>
          <w:p w:rsidR="00AB4588" w:rsidRDefault="00AB4588" w:rsidP="00DA40C1">
            <w:pPr>
              <w:pStyle w:val="PlainText"/>
              <w:rPr>
                <w:rFonts w:ascii="TimesNewRoman" w:hAnsi="TimesNewRoman" w:cs="Courier New"/>
                <w:sz w:val="20"/>
              </w:rPr>
            </w:pPr>
            <w:r>
              <w:rPr>
                <w:rFonts w:ascii="TimesNewRoman" w:hAnsi="TimesNewRoman" w:cs="Courier New"/>
                <w:sz w:val="20"/>
              </w:rPr>
              <w:t>C - Contract Authority,</w:t>
            </w:r>
          </w:p>
          <w:p w:rsidR="00AB4588" w:rsidRDefault="00AB4588" w:rsidP="00DA40C1">
            <w:pPr>
              <w:pStyle w:val="PlainText"/>
              <w:rPr>
                <w:rFonts w:ascii="TimesNewRoman" w:hAnsi="TimesNewRoman" w:cs="Courier New"/>
                <w:sz w:val="20"/>
              </w:rPr>
            </w:pPr>
            <w:r>
              <w:rPr>
                <w:rFonts w:ascii="TimesNewRoman" w:hAnsi="TimesNewRoman" w:cs="Courier New"/>
                <w:sz w:val="20"/>
              </w:rPr>
              <w:t>D - Advance Appropriation,</w:t>
            </w:r>
          </w:p>
          <w:p w:rsidR="00AB4588" w:rsidRDefault="00AB4588" w:rsidP="00DA40C1">
            <w:pPr>
              <w:pStyle w:val="PlainText"/>
              <w:rPr>
                <w:rFonts w:ascii="TimesNewRoman" w:hAnsi="TimesNewRoman" w:cs="Courier New"/>
                <w:sz w:val="20"/>
              </w:rPr>
            </w:pPr>
            <w:r>
              <w:rPr>
                <w:rFonts w:ascii="TimesNewRoman" w:hAnsi="TimesNewRoman" w:cs="Courier New"/>
                <w:sz w:val="20"/>
              </w:rPr>
              <w:t>E - Appropriation (Advance Funding) available in Prior Year,</w:t>
            </w:r>
          </w:p>
          <w:p w:rsidR="00AB4588" w:rsidRDefault="00AB4588" w:rsidP="00DA40C1">
            <w:pPr>
              <w:pStyle w:val="PlainText"/>
              <w:rPr>
                <w:rFonts w:ascii="TimesNewRoman" w:hAnsi="TimesNewRoman" w:cs="Courier New"/>
                <w:sz w:val="20"/>
              </w:rPr>
            </w:pPr>
            <w:r>
              <w:rPr>
                <w:rFonts w:ascii="TimesNewRoman" w:hAnsi="TimesNewRoman" w:cs="Courier New"/>
                <w:sz w:val="20"/>
              </w:rPr>
              <w:t>F - Appropriation (Advance Funding) available from Subsequent Year,</w:t>
            </w:r>
          </w:p>
          <w:p w:rsidR="00AB4588" w:rsidRDefault="00AB4588" w:rsidP="00DA40C1">
            <w:pPr>
              <w:pStyle w:val="PlainText"/>
              <w:rPr>
                <w:rFonts w:ascii="TimesNewRoman" w:hAnsi="TimesNewRoman" w:cs="Courier New"/>
                <w:sz w:val="20"/>
              </w:rPr>
            </w:pPr>
            <w:r>
              <w:rPr>
                <w:rFonts w:ascii="TimesNewRoman" w:hAnsi="TimesNewRoman" w:cs="Courier New"/>
                <w:sz w:val="20"/>
              </w:rPr>
              <w:t>P - Appropriation (excluding Advance Funding),</w:t>
            </w:r>
          </w:p>
          <w:p w:rsidR="00AB4588" w:rsidRDefault="00AB4588" w:rsidP="00DA40C1">
            <w:pPr>
              <w:pStyle w:val="PlainText"/>
              <w:rPr>
                <w:rFonts w:ascii="TimesNewRoman" w:hAnsi="TimesNewRoman" w:cs="Courier New"/>
                <w:sz w:val="20"/>
              </w:rPr>
            </w:pPr>
            <w:r>
              <w:rPr>
                <w:rFonts w:ascii="TimesNewRoman" w:hAnsi="TimesNewRoman" w:cs="Courier New"/>
                <w:sz w:val="20"/>
              </w:rPr>
              <w:t>R - Reappropriation,</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S - Spending Authority from Offsetting Collections</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 TFM 2-4200</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Availability Time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Avail Time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a budgetary resource is available for new obligations in the current period, or in a subsequent period within the current fiscal year or after being reapportioned in a future fiscal year.</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 - Available in current period,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S - Available in subsequent period</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BEA Category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BEA Cat</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the Budget Enforcement Act (BEA) category is mandatory or discretionary.</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Discretionary,</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M - Mandatory</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Begin End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Begin/End</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Indicates whether the balance or an USSGL account/attribute combination is at the start of the fiscal year or at the end of a period.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B - Beginning Balance,</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E - Ending Balance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lastRenderedPageBreak/>
              <w:t>Borrowing Authority From the Public</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Borrowing Authority From the Public</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Definite Indefinite Borrowing Authority from the Public</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Definite,</w:t>
            </w:r>
          </w:p>
          <w:p w:rsidR="00AB4588" w:rsidRDefault="00AB4588" w:rsidP="00DA40C1">
            <w:pPr>
              <w:pStyle w:val="PlainText"/>
              <w:rPr>
                <w:rFonts w:ascii="TimesNewRoman" w:hAnsi="TimesNewRoman" w:cs="Courier New"/>
                <w:sz w:val="20"/>
              </w:rPr>
            </w:pPr>
            <w:r>
              <w:rPr>
                <w:rFonts w:ascii="TimesNewRoman" w:hAnsi="TimesNewRoman" w:cs="Courier New"/>
                <w:sz w:val="20"/>
              </w:rPr>
              <w:t>I - Indefinite,</w:t>
            </w:r>
          </w:p>
          <w:p w:rsidR="00AB4588" w:rsidRDefault="00AB4588" w:rsidP="00DA40C1">
            <w:pPr>
              <w:pStyle w:val="PlainText"/>
              <w:rPr>
                <w:rFonts w:ascii="TimesNewRoman" w:hAnsi="TimesNewRoman" w:cs="Courier New"/>
                <w:sz w:val="20"/>
              </w:rPr>
            </w:pPr>
            <w:r>
              <w:rPr>
                <w:rFonts w:ascii="TimesNewRoman" w:hAnsi="TimesNewRoman" w:cs="Courier New"/>
                <w:sz w:val="20"/>
              </w:rPr>
              <w:t>M - Mixed,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N - Null</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1/C</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MTS</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Borrowing Authority From the Treasury</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Borrowing Authority From the Treasury</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Definite Indefinite Borrowing Authority</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Definite,</w:t>
            </w:r>
          </w:p>
          <w:p w:rsidR="00AB4588" w:rsidRDefault="00AB4588" w:rsidP="00DA40C1">
            <w:pPr>
              <w:pStyle w:val="PlainText"/>
              <w:rPr>
                <w:rFonts w:ascii="TimesNewRoman" w:hAnsi="TimesNewRoman" w:cs="Courier New"/>
                <w:sz w:val="20"/>
              </w:rPr>
            </w:pPr>
            <w:r>
              <w:rPr>
                <w:rFonts w:ascii="TimesNewRoman" w:hAnsi="TimesNewRoman" w:cs="Courier New"/>
                <w:sz w:val="20"/>
              </w:rPr>
              <w:t>I - Indefinite,</w:t>
            </w:r>
          </w:p>
          <w:p w:rsidR="00AB4588" w:rsidRDefault="00AB4588" w:rsidP="00DA40C1">
            <w:pPr>
              <w:pStyle w:val="PlainText"/>
              <w:rPr>
                <w:rFonts w:ascii="TimesNewRoman" w:hAnsi="TimesNewRoman" w:cs="Courier New"/>
                <w:sz w:val="20"/>
              </w:rPr>
            </w:pPr>
            <w:r>
              <w:rPr>
                <w:rFonts w:ascii="TimesNewRoman" w:hAnsi="TimesNewRoman" w:cs="Courier New"/>
                <w:sz w:val="20"/>
              </w:rPr>
              <w:t>M - Mixed,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N - Null</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1/C</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Treasury</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Borrowing Source Code </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Borrow Source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borrowing took place from the public, Treasury, or a federal financing bank.</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F - Federal Financing Bank,</w:t>
            </w:r>
          </w:p>
          <w:p w:rsidR="00AB4588" w:rsidRDefault="00AB4588" w:rsidP="00DA40C1">
            <w:pPr>
              <w:pStyle w:val="PlainText"/>
              <w:rPr>
                <w:rFonts w:ascii="TimesNewRoman" w:hAnsi="TimesNewRoman" w:cs="Courier New"/>
                <w:sz w:val="20"/>
              </w:rPr>
            </w:pPr>
            <w:r>
              <w:rPr>
                <w:rFonts w:ascii="TimesNewRoman" w:hAnsi="TimesNewRoman" w:cs="Courier New"/>
                <w:sz w:val="20"/>
              </w:rPr>
              <w:t>P - Public,</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T - Treasury</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TFM, 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Budgetary Impact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Budgetary Impact Indicator</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financing resources and non-exchange revenue have an impact on the budget.</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Budgetary Impact,</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E - Non-Budgetary Impact</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Budgetary Proprietary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Budg/Prop</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 - Both Budgetary and Proprietary,</w:t>
            </w:r>
          </w:p>
          <w:p w:rsidR="00AB4588" w:rsidRDefault="00AB4588" w:rsidP="00DA40C1">
            <w:pPr>
              <w:pStyle w:val="PlainText"/>
              <w:rPr>
                <w:rFonts w:ascii="TimesNewRoman" w:hAnsi="TimesNewRoman" w:cs="Courier New"/>
                <w:sz w:val="20"/>
              </w:rPr>
            </w:pPr>
            <w:r>
              <w:rPr>
                <w:rFonts w:ascii="TimesNewRoman" w:hAnsi="TimesNewRoman" w:cs="Courier New"/>
                <w:sz w:val="20"/>
              </w:rPr>
              <w:t>B - Budgetary,</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P - Proprietary</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 OMB Circ. No. A-136, 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USSGL</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Contract Authority</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Contract Authority</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Definite or Indefinite Contract Authority</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Definite,</w:t>
            </w:r>
          </w:p>
          <w:p w:rsidR="00AB4588" w:rsidRDefault="00AB4588" w:rsidP="00DA40C1">
            <w:pPr>
              <w:pStyle w:val="PlainText"/>
              <w:rPr>
                <w:rFonts w:ascii="TimesNewRoman" w:hAnsi="TimesNewRoman" w:cs="Courier New"/>
                <w:sz w:val="20"/>
              </w:rPr>
            </w:pPr>
            <w:r>
              <w:rPr>
                <w:rFonts w:ascii="TimesNewRoman" w:hAnsi="TimesNewRoman" w:cs="Courier New"/>
                <w:sz w:val="20"/>
              </w:rPr>
              <w:t>I - Indefinite,</w:t>
            </w:r>
          </w:p>
          <w:p w:rsidR="00AB4588" w:rsidRDefault="00AB4588" w:rsidP="00DA40C1">
            <w:pPr>
              <w:pStyle w:val="PlainText"/>
              <w:rPr>
                <w:rFonts w:ascii="TimesNewRoman" w:hAnsi="TimesNewRoman" w:cs="Courier New"/>
                <w:sz w:val="20"/>
              </w:rPr>
            </w:pPr>
            <w:r>
              <w:rPr>
                <w:rFonts w:ascii="TimesNewRoman" w:hAnsi="TimesNewRoman" w:cs="Courier New"/>
                <w:sz w:val="20"/>
              </w:rPr>
              <w:t>M - Mixed,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N - Null</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1/C</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MTS</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Credit Cohort Year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Cohort Yr</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Fiscal year when direct loans are obligated or guarantees committed by a program, even if disbursements occur in subsequent fiscal years.</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1001 - OPIC Working Capital,</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1992-2022</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4/N</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Custodial Noncustodial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Cust/Noncust</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Custodial amounts are reported on the Statement of Custodial Activity (SCA) or on the custodial footnote. Noncustodial amounts are not reported on the SCA nor on the custodial footnote.</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 - Non-custodial,</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S - Custodial</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SFFAS #7, OMB Circ. No. A-136</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Debit Credit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Debit/Credit</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the balance reported is a debit or credit.</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C - Credit,</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D - Debit</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 OMB Circ. No. A-136, 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lastRenderedPageBreak/>
              <w:t>Disaster Emergency Fund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DEFC</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Distinguishes whether the budgetary resources, obligations incurred, unobligated and obligated balances, and outlays are classified as disaster, emergency, wildfire suppression or none of the three. Note - Once one of the three has been identified, the title "Disaster/Emergency/Wildfire Suppression", for example, will be replaced with the actual title identified by OMB such as "Emergency PL 115-56."</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 - Emergency PL 115-56,</w:t>
            </w:r>
          </w:p>
          <w:p w:rsidR="00AB4588" w:rsidRDefault="00AB4588" w:rsidP="00DA40C1">
            <w:pPr>
              <w:pStyle w:val="PlainText"/>
              <w:rPr>
                <w:rFonts w:ascii="TimesNewRoman" w:hAnsi="TimesNewRoman" w:cs="Courier New"/>
                <w:sz w:val="20"/>
              </w:rPr>
            </w:pPr>
            <w:r>
              <w:rPr>
                <w:rFonts w:ascii="TimesNewRoman" w:hAnsi="TimesNewRoman" w:cs="Courier New"/>
                <w:sz w:val="20"/>
              </w:rPr>
              <w:t>B - Emergency PL 115-72,</w:t>
            </w:r>
          </w:p>
          <w:p w:rsidR="00AB4588" w:rsidRDefault="00AB4588" w:rsidP="00DA40C1">
            <w:pPr>
              <w:pStyle w:val="PlainText"/>
              <w:rPr>
                <w:rFonts w:ascii="TimesNewRoman" w:hAnsi="TimesNewRoman" w:cs="Courier New"/>
                <w:sz w:val="20"/>
              </w:rPr>
            </w:pPr>
            <w:r>
              <w:rPr>
                <w:rFonts w:ascii="TimesNewRoman" w:hAnsi="TimesNewRoman" w:cs="Courier New"/>
                <w:sz w:val="20"/>
              </w:rPr>
              <w:t>C - Emergency PL 115-123,</w:t>
            </w:r>
          </w:p>
          <w:p w:rsidR="00AB4588" w:rsidRDefault="00AB4588" w:rsidP="00DA40C1">
            <w:pPr>
              <w:pStyle w:val="PlainText"/>
              <w:rPr>
                <w:rFonts w:ascii="TimesNewRoman" w:hAnsi="TimesNewRoman" w:cs="Courier New"/>
                <w:sz w:val="20"/>
              </w:rPr>
            </w:pPr>
            <w:r>
              <w:rPr>
                <w:rFonts w:ascii="TimesNewRoman" w:hAnsi="TimesNewRoman" w:cs="Courier New"/>
                <w:sz w:val="20"/>
              </w:rPr>
              <w:t>D - Emergency PL 115-254,</w:t>
            </w:r>
          </w:p>
          <w:p w:rsidR="00AB4588" w:rsidRDefault="00AB4588" w:rsidP="00DA40C1">
            <w:pPr>
              <w:pStyle w:val="PlainText"/>
              <w:rPr>
                <w:rFonts w:ascii="TimesNewRoman" w:hAnsi="TimesNewRoman" w:cs="Courier New"/>
                <w:sz w:val="20"/>
              </w:rPr>
            </w:pPr>
            <w:r>
              <w:rPr>
                <w:rFonts w:ascii="TimesNewRoman" w:hAnsi="TimesNewRoman" w:cs="Courier New"/>
                <w:sz w:val="20"/>
              </w:rPr>
              <w:t>E - Emergency PL 116-20,</w:t>
            </w:r>
          </w:p>
          <w:p w:rsidR="00AB4588" w:rsidRDefault="00AB4588" w:rsidP="00DA40C1">
            <w:pPr>
              <w:pStyle w:val="PlainText"/>
              <w:rPr>
                <w:rFonts w:ascii="TimesNewRoman" w:hAnsi="TimesNewRoman" w:cs="Courier New"/>
                <w:sz w:val="20"/>
              </w:rPr>
            </w:pPr>
            <w:r>
              <w:rPr>
                <w:rFonts w:ascii="TimesNewRoman" w:hAnsi="TimesNewRoman" w:cs="Courier New"/>
                <w:sz w:val="20"/>
              </w:rPr>
              <w:t>F - Emergency PL 116-26,</w:t>
            </w:r>
          </w:p>
          <w:p w:rsidR="00AB4588" w:rsidRDefault="00AB4588" w:rsidP="00DA40C1">
            <w:pPr>
              <w:pStyle w:val="PlainText"/>
              <w:rPr>
                <w:rFonts w:ascii="TimesNewRoman" w:hAnsi="TimesNewRoman" w:cs="Courier New"/>
                <w:sz w:val="20"/>
              </w:rPr>
            </w:pPr>
            <w:r>
              <w:rPr>
                <w:rFonts w:ascii="TimesNewRoman" w:hAnsi="TimesNewRoman" w:cs="Courier New"/>
                <w:sz w:val="20"/>
              </w:rPr>
              <w:t>G - Emergency PL 116-93,</w:t>
            </w:r>
          </w:p>
          <w:p w:rsidR="00AB4588" w:rsidRDefault="00AB4588" w:rsidP="00DA40C1">
            <w:pPr>
              <w:pStyle w:val="PlainText"/>
              <w:rPr>
                <w:rFonts w:ascii="TimesNewRoman" w:hAnsi="TimesNewRoman" w:cs="Courier New"/>
                <w:sz w:val="20"/>
              </w:rPr>
            </w:pPr>
            <w:r>
              <w:rPr>
                <w:rFonts w:ascii="TimesNewRoman" w:hAnsi="TimesNewRoman" w:cs="Courier New"/>
                <w:sz w:val="20"/>
              </w:rPr>
              <w:t>H - Disaster PL 116-93,</w:t>
            </w:r>
          </w:p>
          <w:p w:rsidR="00AB4588" w:rsidRDefault="00AB4588" w:rsidP="00DA40C1">
            <w:pPr>
              <w:pStyle w:val="PlainText"/>
              <w:rPr>
                <w:rFonts w:ascii="TimesNewRoman" w:hAnsi="TimesNewRoman" w:cs="Courier New"/>
                <w:sz w:val="20"/>
              </w:rPr>
            </w:pPr>
            <w:r>
              <w:rPr>
                <w:rFonts w:ascii="TimesNewRoman" w:hAnsi="TimesNewRoman" w:cs="Courier New"/>
                <w:sz w:val="20"/>
              </w:rPr>
              <w:t>I - Emergency PL 116-94,</w:t>
            </w:r>
          </w:p>
          <w:p w:rsidR="00AB4588" w:rsidRDefault="00AB4588" w:rsidP="00DA40C1">
            <w:pPr>
              <w:pStyle w:val="PlainText"/>
              <w:rPr>
                <w:rFonts w:ascii="TimesNewRoman" w:hAnsi="TimesNewRoman" w:cs="Courier New"/>
                <w:sz w:val="20"/>
              </w:rPr>
            </w:pPr>
            <w:r>
              <w:rPr>
                <w:rFonts w:ascii="TimesNewRoman" w:hAnsi="TimesNewRoman" w:cs="Courier New"/>
                <w:sz w:val="20"/>
              </w:rPr>
              <w:t>J - Wildfire Suppression PL 116-94,</w:t>
            </w:r>
          </w:p>
          <w:p w:rsidR="00AB4588" w:rsidRDefault="00AB4588" w:rsidP="00DA40C1">
            <w:pPr>
              <w:pStyle w:val="PlainText"/>
              <w:rPr>
                <w:rFonts w:ascii="TimesNewRoman" w:hAnsi="TimesNewRoman" w:cs="Courier New"/>
                <w:sz w:val="20"/>
              </w:rPr>
            </w:pPr>
            <w:r>
              <w:rPr>
                <w:rFonts w:ascii="TimesNewRoman" w:hAnsi="TimesNewRoman" w:cs="Courier New"/>
                <w:sz w:val="20"/>
              </w:rPr>
              <w:t>K - Emergency PL 116-113,</w:t>
            </w:r>
          </w:p>
          <w:p w:rsidR="00AB4588" w:rsidRDefault="00AB4588" w:rsidP="00DA40C1">
            <w:pPr>
              <w:pStyle w:val="PlainText"/>
              <w:rPr>
                <w:rFonts w:ascii="TimesNewRoman" w:hAnsi="TimesNewRoman" w:cs="Courier New"/>
                <w:sz w:val="20"/>
              </w:rPr>
            </w:pPr>
            <w:r>
              <w:rPr>
                <w:rFonts w:ascii="TimesNewRoman" w:hAnsi="TimesNewRoman" w:cs="Courier New"/>
                <w:sz w:val="20"/>
              </w:rPr>
              <w:t>L - Emergency PL 116-123,</w:t>
            </w:r>
          </w:p>
          <w:p w:rsidR="00AB4588" w:rsidRDefault="00AB4588" w:rsidP="00DA40C1">
            <w:pPr>
              <w:pStyle w:val="PlainText"/>
              <w:rPr>
                <w:rFonts w:ascii="TimesNewRoman" w:hAnsi="TimesNewRoman" w:cs="Courier New"/>
                <w:sz w:val="20"/>
              </w:rPr>
            </w:pPr>
            <w:r>
              <w:rPr>
                <w:rFonts w:ascii="TimesNewRoman" w:hAnsi="TimesNewRoman" w:cs="Courier New"/>
                <w:sz w:val="20"/>
              </w:rPr>
              <w:t>M - Emergency PL 116-127,</w:t>
            </w:r>
          </w:p>
          <w:p w:rsidR="00AB4588" w:rsidRDefault="00AB4588" w:rsidP="00DA40C1">
            <w:pPr>
              <w:pStyle w:val="PlainText"/>
              <w:rPr>
                <w:rFonts w:ascii="TimesNewRoman" w:hAnsi="TimesNewRoman" w:cs="Courier New"/>
                <w:sz w:val="20"/>
              </w:rPr>
            </w:pPr>
            <w:r>
              <w:rPr>
                <w:rFonts w:ascii="TimesNewRoman" w:hAnsi="TimesNewRoman" w:cs="Courier New"/>
                <w:sz w:val="20"/>
              </w:rPr>
              <w:t>N - Emergency PL 116-136,</w:t>
            </w:r>
          </w:p>
          <w:p w:rsidR="00AB4588" w:rsidRDefault="00AB4588" w:rsidP="00DA40C1">
            <w:pPr>
              <w:pStyle w:val="PlainText"/>
              <w:rPr>
                <w:rFonts w:ascii="TimesNewRoman" w:hAnsi="TimesNewRoman" w:cs="Courier New"/>
                <w:sz w:val="20"/>
              </w:rPr>
            </w:pPr>
            <w:r>
              <w:rPr>
                <w:rFonts w:ascii="TimesNewRoman" w:hAnsi="TimesNewRoman" w:cs="Courier New"/>
                <w:sz w:val="20"/>
              </w:rPr>
              <w:t>O - Nonemergency PLs 116-136 &amp; 116-139,</w:t>
            </w:r>
          </w:p>
          <w:p w:rsidR="00AB4588" w:rsidRDefault="00AB4588" w:rsidP="00DA40C1">
            <w:pPr>
              <w:pStyle w:val="PlainText"/>
              <w:rPr>
                <w:rFonts w:ascii="TimesNewRoman" w:hAnsi="TimesNewRoman" w:cs="Courier New"/>
                <w:sz w:val="20"/>
              </w:rPr>
            </w:pPr>
            <w:r>
              <w:rPr>
                <w:rFonts w:ascii="TimesNewRoman" w:hAnsi="TimesNewRoman" w:cs="Courier New"/>
                <w:sz w:val="20"/>
              </w:rPr>
              <w:t>P - Emergency PL 116-139,</w:t>
            </w:r>
          </w:p>
          <w:p w:rsidR="00AB4588" w:rsidRDefault="00AB4588" w:rsidP="00DA40C1">
            <w:pPr>
              <w:pStyle w:val="PlainText"/>
              <w:rPr>
                <w:rFonts w:ascii="TimesNewRoman" w:hAnsi="TimesNewRoman" w:cs="Courier New"/>
                <w:sz w:val="20"/>
              </w:rPr>
            </w:pPr>
            <w:r>
              <w:rPr>
                <w:rFonts w:ascii="TimesNewRoman" w:hAnsi="TimesNewRoman" w:cs="Courier New"/>
                <w:sz w:val="20"/>
              </w:rPr>
              <w:t>Q - Non Disaster or Emergency,</w:t>
            </w:r>
          </w:p>
          <w:p w:rsidR="00AB4588" w:rsidRDefault="00AB4588" w:rsidP="00DA40C1">
            <w:pPr>
              <w:pStyle w:val="PlainText"/>
              <w:rPr>
                <w:rFonts w:ascii="TimesNewRoman" w:hAnsi="TimesNewRoman" w:cs="Courier New"/>
                <w:sz w:val="20"/>
              </w:rPr>
            </w:pPr>
            <w:r>
              <w:rPr>
                <w:rFonts w:ascii="TimesNewRoman" w:hAnsi="TimesNewRoman" w:cs="Courier New"/>
                <w:sz w:val="20"/>
              </w:rPr>
              <w:t>R - Disaster/Emergency/Wildfire Suppression,</w:t>
            </w:r>
          </w:p>
          <w:p w:rsidR="00AB4588" w:rsidRDefault="00AB4588" w:rsidP="00DA40C1">
            <w:pPr>
              <w:pStyle w:val="PlainText"/>
              <w:rPr>
                <w:rFonts w:ascii="TimesNewRoman" w:hAnsi="TimesNewRoman" w:cs="Courier New"/>
                <w:sz w:val="20"/>
              </w:rPr>
            </w:pPr>
            <w:r>
              <w:rPr>
                <w:rFonts w:ascii="TimesNewRoman" w:hAnsi="TimesNewRoman" w:cs="Courier New"/>
                <w:sz w:val="20"/>
              </w:rPr>
              <w:t>S - Disaster/Emergency/Wildfire Suppression,</w:t>
            </w:r>
          </w:p>
          <w:p w:rsidR="00AB4588" w:rsidRDefault="00AB4588" w:rsidP="00DA40C1">
            <w:pPr>
              <w:pStyle w:val="PlainText"/>
              <w:rPr>
                <w:rFonts w:ascii="TimesNewRoman" w:hAnsi="TimesNewRoman" w:cs="Courier New"/>
                <w:sz w:val="20"/>
              </w:rPr>
            </w:pPr>
            <w:r>
              <w:rPr>
                <w:rFonts w:ascii="TimesNewRoman" w:hAnsi="TimesNewRoman" w:cs="Courier New"/>
                <w:sz w:val="20"/>
              </w:rPr>
              <w:t>T - Disaster/Emergency/Wildfire Suppression,</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U - Disaster/Emergency/Wildfire Suppression</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Guidance/TFM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Exchange Nonexchange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Exch/Nonexch</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Indicates whether the revenue, gains or losses balances being reported is exchange (X), nonexchange (T) or (E) exchange revenue with little or no associated costs.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E - Exchange without associated costs,</w:t>
            </w:r>
          </w:p>
          <w:p w:rsidR="00AB4588" w:rsidRDefault="00AB4588" w:rsidP="00DA40C1">
            <w:pPr>
              <w:pStyle w:val="PlainText"/>
              <w:rPr>
                <w:rFonts w:ascii="TimesNewRoman" w:hAnsi="TimesNewRoman" w:cs="Courier New"/>
                <w:sz w:val="20"/>
              </w:rPr>
            </w:pPr>
            <w:r>
              <w:rPr>
                <w:rFonts w:ascii="TimesNewRoman" w:hAnsi="TimesNewRoman" w:cs="Courier New"/>
                <w:sz w:val="20"/>
              </w:rPr>
              <w:t>T - Nonexchange,</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X - Exchange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SFFAS #7, TFM </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Federal Non-Federal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Fed/NonFed</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Indicates the type of entity involved in transactions with the reporting entity: other federal entities (F); non-federal entities such as private/local/state/tribal/foreign governments (N), exceptions for other non-federal partners (E), unidentified federal activity that does not have a trading partner (Z), or General Fund of the U.S. Government only (G).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E - Non Federal Exception,</w:t>
            </w:r>
          </w:p>
          <w:p w:rsidR="00AB4588" w:rsidRDefault="00AB4588" w:rsidP="00DA40C1">
            <w:pPr>
              <w:pStyle w:val="PlainText"/>
              <w:rPr>
                <w:rFonts w:ascii="TimesNewRoman" w:hAnsi="TimesNewRoman" w:cs="Courier New"/>
                <w:sz w:val="20"/>
              </w:rPr>
            </w:pPr>
            <w:r>
              <w:rPr>
                <w:rFonts w:ascii="TimesNewRoman" w:hAnsi="TimesNewRoman" w:cs="Courier New"/>
                <w:sz w:val="20"/>
              </w:rPr>
              <w:t>F - Federal,</w:t>
            </w:r>
          </w:p>
          <w:p w:rsidR="00AB4588" w:rsidRDefault="00AB4588" w:rsidP="00DA40C1">
            <w:pPr>
              <w:pStyle w:val="PlainText"/>
              <w:rPr>
                <w:rFonts w:ascii="TimesNewRoman" w:hAnsi="TimesNewRoman" w:cs="Courier New"/>
                <w:sz w:val="20"/>
              </w:rPr>
            </w:pPr>
            <w:r>
              <w:rPr>
                <w:rFonts w:ascii="TimesNewRoman" w:hAnsi="TimesNewRoman" w:cs="Courier New"/>
                <w:sz w:val="20"/>
              </w:rPr>
              <w:t>G - General Fund of the U.S. Government Only,</w:t>
            </w:r>
          </w:p>
          <w:p w:rsidR="00AB4588" w:rsidRDefault="00AB4588" w:rsidP="00DA40C1">
            <w:pPr>
              <w:pStyle w:val="PlainText"/>
              <w:rPr>
                <w:rFonts w:ascii="TimesNewRoman" w:hAnsi="TimesNewRoman" w:cs="Courier New"/>
                <w:sz w:val="20"/>
              </w:rPr>
            </w:pPr>
            <w:r>
              <w:rPr>
                <w:rFonts w:ascii="TimesNewRoman" w:hAnsi="TimesNewRoman" w:cs="Courier New"/>
                <w:sz w:val="20"/>
              </w:rPr>
              <w:t>N - Non Federal,</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Z - Non-Reciprocating Federal Activity</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SFFAS #7, TFM </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lastRenderedPageBreak/>
              <w:t>Financing Account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Financing Account Code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the federal account symbol is a Direct Loan Financing Account, a Guaranteed Loan Financing Account, or is not a financing account as defined by the Federal Credit Reform Act of 1990.</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Direct,</w:t>
            </w:r>
          </w:p>
          <w:p w:rsidR="00AB4588" w:rsidRDefault="00AB4588" w:rsidP="00DA40C1">
            <w:pPr>
              <w:pStyle w:val="PlainText"/>
              <w:rPr>
                <w:rFonts w:ascii="TimesNewRoman" w:hAnsi="TimesNewRoman" w:cs="Courier New"/>
                <w:sz w:val="20"/>
              </w:rPr>
            </w:pPr>
            <w:r>
              <w:rPr>
                <w:rFonts w:ascii="TimesNewRoman" w:hAnsi="TimesNewRoman" w:cs="Courier New"/>
                <w:sz w:val="20"/>
              </w:rPr>
              <w:t>G - Guaranteed,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N - Nonfinancing</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SF 133, Schedule P</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GTAS Fund Type Code </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Fund Type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(Treasury Financial Manual (TFM) Volume I, Part 2, Chapter 1500).</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CF - Clearing Account (F3500-F3885),</w:t>
            </w:r>
          </w:p>
          <w:p w:rsidR="00AB4588" w:rsidRDefault="00AB4588" w:rsidP="00DA40C1">
            <w:pPr>
              <w:pStyle w:val="PlainText"/>
              <w:rPr>
                <w:rFonts w:ascii="TimesNewRoman" w:hAnsi="TimesNewRoman" w:cs="Courier New"/>
                <w:sz w:val="20"/>
              </w:rPr>
            </w:pPr>
            <w:r>
              <w:rPr>
                <w:rFonts w:ascii="TimesNewRoman" w:hAnsi="TimesNewRoman" w:cs="Courier New"/>
                <w:sz w:val="20"/>
              </w:rPr>
              <w:t>DF - Deposit Fund. (6000-6999),</w:t>
            </w:r>
          </w:p>
          <w:p w:rsidR="00AB4588" w:rsidRDefault="00AB4588" w:rsidP="00DA40C1">
            <w:pPr>
              <w:pStyle w:val="PlainText"/>
              <w:rPr>
                <w:rFonts w:ascii="TimesNewRoman" w:hAnsi="TimesNewRoman" w:cs="Courier New"/>
                <w:sz w:val="20"/>
              </w:rPr>
            </w:pPr>
            <w:r>
              <w:rPr>
                <w:rFonts w:ascii="TimesNewRoman" w:hAnsi="TimesNewRoman" w:cs="Courier New"/>
                <w:sz w:val="20"/>
              </w:rPr>
              <w:t>EC - Consolidated Working Fund (3900-3959),</w:t>
            </w:r>
          </w:p>
          <w:p w:rsidR="00AB4588" w:rsidRDefault="00AB4588" w:rsidP="00DA40C1">
            <w:pPr>
              <w:pStyle w:val="PlainText"/>
              <w:rPr>
                <w:rFonts w:ascii="TimesNewRoman" w:hAnsi="TimesNewRoman" w:cs="Courier New"/>
                <w:sz w:val="20"/>
              </w:rPr>
            </w:pPr>
            <w:r>
              <w:rPr>
                <w:rFonts w:ascii="TimesNewRoman" w:hAnsi="TimesNewRoman" w:cs="Courier New"/>
                <w:sz w:val="20"/>
              </w:rPr>
              <w:t>EG - General Fund (0000-3899),</w:t>
            </w:r>
          </w:p>
          <w:p w:rsidR="00AB4588" w:rsidRDefault="00AB4588" w:rsidP="00DA40C1">
            <w:pPr>
              <w:pStyle w:val="PlainText"/>
              <w:rPr>
                <w:rFonts w:ascii="TimesNewRoman" w:hAnsi="TimesNewRoman" w:cs="Courier New"/>
                <w:sz w:val="20"/>
              </w:rPr>
            </w:pPr>
            <w:r>
              <w:rPr>
                <w:rFonts w:ascii="TimesNewRoman" w:hAnsi="TimesNewRoman" w:cs="Courier New"/>
                <w:sz w:val="20"/>
              </w:rPr>
              <w:t>EM - Management Fund (3960-3999),</w:t>
            </w:r>
          </w:p>
          <w:p w:rsidR="00AB4588" w:rsidRDefault="00AB4588" w:rsidP="00DA40C1">
            <w:pPr>
              <w:pStyle w:val="PlainText"/>
              <w:rPr>
                <w:rFonts w:ascii="TimesNewRoman" w:hAnsi="TimesNewRoman" w:cs="Courier New"/>
                <w:sz w:val="20"/>
              </w:rPr>
            </w:pPr>
            <w:r>
              <w:rPr>
                <w:rFonts w:ascii="TimesNewRoman" w:hAnsi="TimesNewRoman" w:cs="Courier New"/>
                <w:sz w:val="20"/>
              </w:rPr>
              <w:t>EP - Public Enterprise Revolving Funds (4000-4499),</w:t>
            </w:r>
          </w:p>
          <w:p w:rsidR="00AB4588" w:rsidRDefault="00AB4588" w:rsidP="00DA40C1">
            <w:pPr>
              <w:pStyle w:val="PlainText"/>
              <w:rPr>
                <w:rFonts w:ascii="TimesNewRoman" w:hAnsi="TimesNewRoman" w:cs="Courier New"/>
                <w:sz w:val="20"/>
              </w:rPr>
            </w:pPr>
            <w:r>
              <w:rPr>
                <w:rFonts w:ascii="TimesNewRoman" w:hAnsi="TimesNewRoman" w:cs="Courier New"/>
                <w:sz w:val="20"/>
              </w:rPr>
              <w:t>ER - Intragovernmental Revolving Funds (4500-4999),</w:t>
            </w:r>
          </w:p>
          <w:p w:rsidR="00AB4588" w:rsidRDefault="00AB4588" w:rsidP="00DA40C1">
            <w:pPr>
              <w:pStyle w:val="PlainText"/>
              <w:rPr>
                <w:rFonts w:ascii="TimesNewRoman" w:hAnsi="TimesNewRoman" w:cs="Courier New"/>
                <w:sz w:val="20"/>
              </w:rPr>
            </w:pPr>
            <w:r>
              <w:rPr>
                <w:rFonts w:ascii="TimesNewRoman" w:hAnsi="TimesNewRoman" w:cs="Courier New"/>
                <w:sz w:val="20"/>
              </w:rPr>
              <w:t>ES - Special Fund (5000-5999),</w:t>
            </w:r>
          </w:p>
          <w:p w:rsidR="00AB4588" w:rsidRDefault="00AB4588" w:rsidP="00DA40C1">
            <w:pPr>
              <w:pStyle w:val="PlainText"/>
              <w:rPr>
                <w:rFonts w:ascii="TimesNewRoman" w:hAnsi="TimesNewRoman" w:cs="Courier New"/>
                <w:sz w:val="20"/>
              </w:rPr>
            </w:pPr>
            <w:r>
              <w:rPr>
                <w:rFonts w:ascii="TimesNewRoman" w:hAnsi="TimesNewRoman" w:cs="Courier New"/>
                <w:sz w:val="20"/>
              </w:rPr>
              <w:t>ET - Trust Non-revolving Fund (8000-8399 &amp; 8500-8999),</w:t>
            </w:r>
          </w:p>
          <w:p w:rsidR="00AB4588" w:rsidRDefault="00AB4588" w:rsidP="00DA40C1">
            <w:pPr>
              <w:pStyle w:val="PlainText"/>
              <w:rPr>
                <w:rFonts w:ascii="TimesNewRoman" w:hAnsi="TimesNewRoman" w:cs="Courier New"/>
                <w:sz w:val="20"/>
              </w:rPr>
            </w:pPr>
            <w:r>
              <w:rPr>
                <w:rFonts w:ascii="TimesNewRoman" w:hAnsi="TimesNewRoman" w:cs="Courier New"/>
                <w:sz w:val="20"/>
              </w:rPr>
              <w:t>GA - General Fund of the U.S. Government Authority,</w:t>
            </w:r>
          </w:p>
          <w:p w:rsidR="00AB4588" w:rsidRDefault="00AB4588" w:rsidP="00DA40C1">
            <w:pPr>
              <w:pStyle w:val="PlainText"/>
              <w:rPr>
                <w:rFonts w:ascii="TimesNewRoman" w:hAnsi="TimesNewRoman" w:cs="Courier New"/>
                <w:sz w:val="20"/>
              </w:rPr>
            </w:pPr>
            <w:r>
              <w:rPr>
                <w:rFonts w:ascii="TimesNewRoman" w:hAnsi="TimesNewRoman" w:cs="Courier New"/>
                <w:sz w:val="20"/>
              </w:rPr>
              <w:t>MR - Miscellaneous Unavailable Receipts (9500-9550),</w:t>
            </w:r>
          </w:p>
          <w:p w:rsidR="00AB4588" w:rsidRDefault="00AB4588" w:rsidP="00DA40C1">
            <w:pPr>
              <w:pStyle w:val="PlainText"/>
              <w:rPr>
                <w:rFonts w:ascii="TimesNewRoman" w:hAnsi="TimesNewRoman" w:cs="Courier New"/>
                <w:sz w:val="20"/>
              </w:rPr>
            </w:pPr>
            <w:r>
              <w:rPr>
                <w:rFonts w:ascii="TimesNewRoman" w:hAnsi="TimesNewRoman" w:cs="Courier New"/>
                <w:sz w:val="20"/>
              </w:rPr>
              <w:t>TR - Trust Revolving Fund (8400-8499),</w:t>
            </w:r>
          </w:p>
          <w:p w:rsidR="00AB4588" w:rsidRDefault="00AB4588" w:rsidP="00DA40C1">
            <w:pPr>
              <w:pStyle w:val="PlainText"/>
              <w:rPr>
                <w:rFonts w:ascii="TimesNewRoman" w:hAnsi="TimesNewRoman" w:cs="Courier New"/>
                <w:sz w:val="20"/>
              </w:rPr>
            </w:pPr>
            <w:r>
              <w:rPr>
                <w:rFonts w:ascii="TimesNewRoman" w:hAnsi="TimesNewRoman" w:cs="Courier New"/>
                <w:sz w:val="20"/>
              </w:rPr>
              <w:t>UG - Unavailable General Fund Receipt (0000-3499),</w:t>
            </w:r>
          </w:p>
          <w:p w:rsidR="00AB4588" w:rsidRDefault="00AB4588" w:rsidP="00DA40C1">
            <w:pPr>
              <w:pStyle w:val="PlainText"/>
              <w:rPr>
                <w:rFonts w:ascii="TimesNewRoman" w:hAnsi="TimesNewRoman" w:cs="Courier New"/>
                <w:sz w:val="20"/>
              </w:rPr>
            </w:pPr>
            <w:r>
              <w:rPr>
                <w:rFonts w:ascii="TimesNewRoman" w:hAnsi="TimesNewRoman" w:cs="Courier New"/>
                <w:sz w:val="20"/>
              </w:rPr>
              <w:t>US - Unavailable Special Fund Receipt (5000-5999),</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UT - Unavailable Trust Non-Revolving Fund Receipt (8000-8399 &amp; 8500-8999)</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2/A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FAST Book</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Normal Balance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Norm Bal</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Normal condition of the balance in an USSGL account (debit or credit).</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C - Credit,</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D - Debit</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SF 133, Schedule P</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USSGL</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lastRenderedPageBreak/>
              <w:t>Prior Year Adjustment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PY Adj</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Changes to obligated or unobligated balances that occurred in the previous fiscal year but were not recorded in the appropriate TAFS as of October 1 of the current fiscal year. Exclude upward and downward adjustments to current-year/prior-year obligations and most reclassifications from clearing accounts.</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B - Adjustment to prior-year reporting - backdated in Treasury's central accounting system,</w:t>
            </w:r>
          </w:p>
          <w:p w:rsidR="00AB4588" w:rsidRDefault="00AB4588" w:rsidP="00DA40C1">
            <w:pPr>
              <w:pStyle w:val="PlainText"/>
              <w:rPr>
                <w:rFonts w:ascii="TimesNewRoman" w:hAnsi="TimesNewRoman" w:cs="Courier New"/>
                <w:sz w:val="20"/>
              </w:rPr>
            </w:pPr>
            <w:r>
              <w:rPr>
                <w:rFonts w:ascii="TimesNewRoman" w:hAnsi="TimesNewRoman" w:cs="Courier New"/>
                <w:sz w:val="20"/>
              </w:rPr>
              <w:t>P - Adjustment to prior-year reporting - not backdated in Treasury's central accounting system,</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X - Not an adjustment to prior-year reporting</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Program Report Category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Program Rpt Cat</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287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 Program Report Category Code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2/N</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Reduction Type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Reduction Type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The code representing the type of reduction being reported (e.g., Across The Board, Sequestration or Other) in detailed financial information.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ATB - Across The Board reduction,</w:t>
            </w:r>
          </w:p>
          <w:p w:rsidR="00AB4588" w:rsidRDefault="00AB4588" w:rsidP="00DA40C1">
            <w:pPr>
              <w:pStyle w:val="PlainText"/>
              <w:rPr>
                <w:rFonts w:ascii="TimesNewRoman" w:hAnsi="TimesNewRoman" w:cs="Courier New"/>
                <w:sz w:val="20"/>
              </w:rPr>
            </w:pPr>
            <w:r>
              <w:rPr>
                <w:rFonts w:ascii="TimesNewRoman" w:hAnsi="TimesNewRoman" w:cs="Courier New"/>
                <w:sz w:val="20"/>
              </w:rPr>
              <w:t>OTR - Reductions other than ATB and SEQ,</w:t>
            </w:r>
          </w:p>
          <w:p w:rsidR="00AB4588" w:rsidRDefault="00AB4588" w:rsidP="00DA40C1">
            <w:pPr>
              <w:pStyle w:val="PlainText"/>
              <w:rPr>
                <w:rFonts w:ascii="TimesNewRoman" w:hAnsi="TimesNewRoman" w:cs="Courier New"/>
                <w:sz w:val="20"/>
              </w:rPr>
            </w:pPr>
            <w:r>
              <w:rPr>
                <w:rFonts w:ascii="TimesNewRoman" w:hAnsi="TimesNewRoman" w:cs="Courier New"/>
                <w:sz w:val="20"/>
              </w:rPr>
              <w:t>SEQ - Sequestration,</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XXX - N.A.</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3/A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Reimbursable Flag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Reimb Flag</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whether amounts for goods, services, and joint project support are financed by offsetting collections.</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D - Direct,</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R - Reimbursable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Reporting Type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Reporting Type Code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Indicates at the TAS level activity related to non-federal ownership interest or statutory dedication of specifically identified revenues to designated activities.</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E - Dedicated Collection,</w:t>
            </w:r>
          </w:p>
          <w:p w:rsidR="00AB4588" w:rsidRDefault="00AB4588" w:rsidP="00DA40C1">
            <w:pPr>
              <w:pStyle w:val="PlainText"/>
              <w:rPr>
                <w:rFonts w:ascii="TimesNewRoman" w:hAnsi="TimesNewRoman" w:cs="Courier New"/>
                <w:sz w:val="20"/>
              </w:rPr>
            </w:pPr>
            <w:r>
              <w:rPr>
                <w:rFonts w:ascii="TimesNewRoman" w:hAnsi="TimesNewRoman" w:cs="Courier New"/>
                <w:sz w:val="20"/>
              </w:rPr>
              <w:t>F - Fiduciary,</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U - Undesignated</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SFFAS 27</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lastRenderedPageBreak/>
              <w:t>TAS Status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 Status</w:t>
            </w:r>
          </w:p>
        </w:tc>
        <w:tc>
          <w:tcPr>
            <w:tcW w:w="5040" w:type="dxa"/>
          </w:tcPr>
          <w:p w:rsidR="00AB4588" w:rsidRDefault="00AB4588" w:rsidP="00DA40C1">
            <w:pPr>
              <w:pStyle w:val="PlainText"/>
              <w:rPr>
                <w:rFonts w:ascii="TimesNewRoman" w:hAnsi="TimesNewRoman" w:cs="Courier New"/>
                <w:sz w:val="20"/>
              </w:rPr>
            </w:pPr>
            <w:r>
              <w:rPr>
                <w:rFonts w:ascii="TimesNewRoman" w:hAnsi="TimesNewRoman" w:cs="Courier New"/>
                <w:sz w:val="20"/>
              </w:rPr>
              <w:t>Expired - time period the budget authority is no longer available for new obligations but is still available for disbursement.</w:t>
            </w:r>
          </w:p>
          <w:p w:rsidR="00AB4588" w:rsidRDefault="00AB4588" w:rsidP="00DA40C1">
            <w:pPr>
              <w:pStyle w:val="PlainText"/>
              <w:rPr>
                <w:rFonts w:ascii="TimesNewRoman" w:hAnsi="TimesNewRoman" w:cs="Courier New"/>
                <w:sz w:val="20"/>
              </w:rPr>
            </w:pPr>
          </w:p>
          <w:p w:rsidR="00AB4588" w:rsidRDefault="00AB4588" w:rsidP="00DA40C1">
            <w:pPr>
              <w:pStyle w:val="PlainText"/>
              <w:rPr>
                <w:rFonts w:ascii="TimesNewRoman" w:hAnsi="TimesNewRoman" w:cs="Courier New"/>
                <w:sz w:val="20"/>
              </w:rPr>
            </w:pPr>
            <w:r>
              <w:rPr>
                <w:rFonts w:ascii="TimesNewRoman" w:hAnsi="TimesNewRoman" w:cs="Courier New"/>
                <w:sz w:val="20"/>
              </w:rPr>
              <w:t>Unexpired - time period the budget authority is available for incurring "new" obligations. Annual budget authority lasts for up to one fiscal year. Multi-year authority lasts for longer periods. No-year authority last indefinitely.</w:t>
            </w:r>
          </w:p>
          <w:p w:rsidR="00AB4588" w:rsidRDefault="00AB4588" w:rsidP="00DA40C1">
            <w:pPr>
              <w:pStyle w:val="PlainText"/>
              <w:rPr>
                <w:rFonts w:ascii="TimesNewRoman" w:hAnsi="TimesNewRoman" w:cs="Courier New"/>
                <w:sz w:val="20"/>
              </w:rPr>
            </w:pP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Canceled - time period after the last expired year, the account is closed, and the balances are canceled. The authority to disburse is canceled and is no longer available for any purpose.</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C - Canceled,</w:t>
            </w:r>
          </w:p>
          <w:p w:rsidR="00AB4588" w:rsidRDefault="00AB4588" w:rsidP="00DA40C1">
            <w:pPr>
              <w:pStyle w:val="PlainText"/>
              <w:rPr>
                <w:rFonts w:ascii="TimesNewRoman" w:hAnsi="TimesNewRoman" w:cs="Courier New"/>
                <w:sz w:val="20"/>
              </w:rPr>
            </w:pPr>
            <w:r>
              <w:rPr>
                <w:rFonts w:ascii="TimesNewRoman" w:hAnsi="TimesNewRoman" w:cs="Courier New"/>
                <w:sz w:val="20"/>
              </w:rPr>
              <w:t>E - Expired,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U - Unexpired</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 Status Transitioning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Trans. Code</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xml:space="preserve">Expiring - Applies to annual and multi-year accounts only. TAS Status Transitioning Flag is set to expiring in period 12 of the ending year of availability. Canceling - Applies to annual and multi-year accounts. For annual and multi-year accounts, the TAS Status Transitioning Flag is set to cancelling in period 12 of the 5th expired year. </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K - Canceling,</w:t>
            </w:r>
          </w:p>
          <w:p w:rsidR="00AB4588" w:rsidRDefault="00AB4588" w:rsidP="00DA40C1">
            <w:pPr>
              <w:pStyle w:val="PlainText"/>
              <w:rPr>
                <w:rFonts w:ascii="TimesNewRoman" w:hAnsi="TimesNewRoman" w:cs="Courier New"/>
                <w:sz w:val="20"/>
              </w:rPr>
            </w:pPr>
            <w:r>
              <w:rPr>
                <w:rFonts w:ascii="TimesNewRoman" w:hAnsi="TimesNewRoman" w:cs="Courier New"/>
                <w:sz w:val="20"/>
              </w:rPr>
              <w:t>N - Not applicable,</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X - Expiring</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1/A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TFM</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TAS</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Trading Partner Agency Identifier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Trading Ptnr</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Represents the agency identifier of the other department, agency, or establishment of the U. S. Government involved in transactions with the reporting entity. Required if the Fed/Non-Federal Indicator = F or G.</w:t>
            </w:r>
          </w:p>
        </w:tc>
        <w:tc>
          <w:tcPr>
            <w:tcW w:w="287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 - Trading Partner (CGAC three-digit department code)</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3/N</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FAST Book</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Trading Partner Main Account Code</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Trading Ptnr Main</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Represents the treasury main account code of the other department, agency, or establishment of the U. S. Government involved in transactions with the reporting entity. Required if the Fed/Non-Federal Indicator = F.</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 xml:space="preserve">     - Blank is Acceptable,</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 - Trading Partner Account (Must be a valid main account for the trading partner.)</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4/N</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FAST Book</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r w:rsidR="00AB4588" w:rsidRPr="00AB4588" w:rsidTr="00AB4588">
        <w:trPr>
          <w:cantSplit/>
        </w:trPr>
        <w:tc>
          <w:tcPr>
            <w:tcW w:w="21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Year of Budget Authority Indicator</w:t>
            </w:r>
          </w:p>
        </w:tc>
        <w:tc>
          <w:tcPr>
            <w:tcW w:w="1441"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Year of BA</w:t>
            </w:r>
          </w:p>
        </w:tc>
        <w:tc>
          <w:tcPr>
            <w:tcW w:w="504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Identifies whether outlays are from the new budget authority (NEW) or from budget authority carried forward from the prior year (BAL). Used for expenditure TAS that are not credit financing TAS.</w:t>
            </w:r>
          </w:p>
        </w:tc>
        <w:tc>
          <w:tcPr>
            <w:tcW w:w="2879" w:type="dxa"/>
          </w:tcPr>
          <w:p w:rsidR="00AB4588" w:rsidRDefault="00AB4588" w:rsidP="00DA40C1">
            <w:pPr>
              <w:pStyle w:val="PlainText"/>
              <w:rPr>
                <w:rFonts w:ascii="TimesNewRoman" w:hAnsi="TimesNewRoman" w:cs="Courier New"/>
                <w:sz w:val="20"/>
              </w:rPr>
            </w:pPr>
            <w:r>
              <w:rPr>
                <w:rFonts w:ascii="TimesNewRoman" w:hAnsi="TimesNewRoman" w:cs="Courier New"/>
                <w:sz w:val="20"/>
              </w:rPr>
              <w:t>BAL - Outlays from balances brought forward,</w:t>
            </w:r>
          </w:p>
          <w:p w:rsidR="00AB4588" w:rsidRPr="00AB4588" w:rsidRDefault="00AB4588" w:rsidP="00DA40C1">
            <w:pPr>
              <w:pStyle w:val="PlainText"/>
              <w:rPr>
                <w:rFonts w:ascii="TimesNewRoman" w:hAnsi="TimesNewRoman" w:cs="Courier New"/>
                <w:sz w:val="20"/>
              </w:rPr>
            </w:pPr>
            <w:r>
              <w:rPr>
                <w:rFonts w:ascii="TimesNewRoman" w:hAnsi="TimesNewRoman" w:cs="Courier New"/>
                <w:sz w:val="20"/>
              </w:rPr>
              <w:t>NEW - Outlays from new budget authority</w:t>
            </w:r>
          </w:p>
        </w:tc>
        <w:tc>
          <w:tcPr>
            <w:tcW w:w="719"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3/A</w:t>
            </w:r>
          </w:p>
        </w:tc>
        <w:tc>
          <w:tcPr>
            <w:tcW w:w="130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OMB Circ. No. A-11</w:t>
            </w:r>
          </w:p>
        </w:tc>
        <w:tc>
          <w:tcPr>
            <w:tcW w:w="860" w:type="dxa"/>
          </w:tcPr>
          <w:p w:rsidR="00AB4588" w:rsidRPr="00AB4588" w:rsidRDefault="00AB4588" w:rsidP="00DA40C1">
            <w:pPr>
              <w:pStyle w:val="PlainText"/>
              <w:rPr>
                <w:rFonts w:ascii="TimesNewRoman" w:hAnsi="TimesNewRoman" w:cs="Courier New"/>
                <w:sz w:val="20"/>
              </w:rPr>
            </w:pPr>
            <w:r w:rsidRPr="00AB4588">
              <w:rPr>
                <w:rFonts w:ascii="TimesNewRoman" w:hAnsi="TimesNewRoman" w:cs="Courier New"/>
                <w:sz w:val="20"/>
              </w:rPr>
              <w:t>Bulk File</w:t>
            </w:r>
          </w:p>
        </w:tc>
      </w:tr>
    </w:tbl>
    <w:p w:rsidR="00DA4E84" w:rsidRPr="00AB4588" w:rsidRDefault="00DA4E84" w:rsidP="00AB4588">
      <w:pPr>
        <w:pStyle w:val="PlainText"/>
        <w:tabs>
          <w:tab w:val="left" w:pos="2160"/>
          <w:tab w:val="left" w:pos="3600"/>
          <w:tab w:val="left" w:pos="8640"/>
          <w:tab w:val="left" w:pos="11520"/>
          <w:tab w:val="left" w:pos="12240"/>
          <w:tab w:val="left" w:pos="13540"/>
        </w:tabs>
        <w:rPr>
          <w:rFonts w:ascii="TimesNewRoman" w:hAnsi="TimesNewRoman" w:cs="Courier New"/>
          <w:sz w:val="20"/>
        </w:rPr>
      </w:pPr>
    </w:p>
    <w:sectPr w:rsidR="00DA4E84" w:rsidRPr="00AB4588" w:rsidSect="00B56E56">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2FA" w:rsidRDefault="002532FA" w:rsidP="00403DC6">
      <w:r>
        <w:separator/>
      </w:r>
    </w:p>
  </w:endnote>
  <w:endnote w:type="continuationSeparator" w:id="0">
    <w:p w:rsidR="002532FA" w:rsidRDefault="002532FA" w:rsidP="004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88" w:rsidRDefault="00AB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4305"/>
      <w:gridCol w:w="6051"/>
      <w:gridCol w:w="4044"/>
    </w:tblGrid>
    <w:tr w:rsidR="004F4A07" w:rsidRPr="00B922E1" w:rsidTr="00902FEE">
      <w:trPr>
        <w:trHeight w:val="252"/>
      </w:trPr>
      <w:tc>
        <w:tcPr>
          <w:tcW w:w="1495" w:type="pct"/>
          <w:shd w:val="clear" w:color="auto" w:fill="auto"/>
          <w:vAlign w:val="center"/>
        </w:tcPr>
        <w:p w:rsidR="004F4A07" w:rsidRPr="00B922E1" w:rsidRDefault="00AB4588" w:rsidP="00902FEE">
          <w:pPr>
            <w:tabs>
              <w:tab w:val="center" w:pos="1152"/>
              <w:tab w:val="center" w:pos="7920"/>
            </w:tabs>
            <w:rPr>
              <w:rFonts w:ascii="Times New Roman" w:eastAsia="Calibri" w:hAnsi="Times New Roman" w:cs="Times New Roman"/>
              <w:b/>
              <w:sz w:val="24"/>
              <w:szCs w:val="24"/>
            </w:rPr>
          </w:pPr>
          <w:r>
            <w:rPr>
              <w:rFonts w:ascii="Arial" w:eastAsia="Calibri" w:hAnsi="Arial" w:cs="Times New Roman"/>
              <w:b/>
              <w:sz w:val="20"/>
            </w:rPr>
            <w:t>Bulletin No. 2020-15</w:t>
          </w:r>
        </w:p>
      </w:tc>
      <w:tc>
        <w:tcPr>
          <w:tcW w:w="2101" w:type="pct"/>
          <w:shd w:val="clear" w:color="auto" w:fill="auto"/>
          <w:vAlign w:val="center"/>
        </w:tcPr>
        <w:p w:rsidR="004F4A07" w:rsidRPr="00B922E1" w:rsidRDefault="004F4A07" w:rsidP="00902FEE">
          <w:pPr>
            <w:tabs>
              <w:tab w:val="center" w:pos="1152"/>
              <w:tab w:val="center" w:pos="7920"/>
            </w:tabs>
            <w:jc w:val="center"/>
            <w:rPr>
              <w:rFonts w:ascii="Times New Roman" w:eastAsia="Calibri" w:hAnsi="Times New Roman" w:cs="Times New Roman"/>
              <w:b/>
              <w:sz w:val="24"/>
              <w:szCs w:val="24"/>
            </w:rPr>
          </w:pPr>
          <w:r>
            <w:rPr>
              <w:rFonts w:ascii="Arial" w:eastAsia="Calibri" w:hAnsi="Arial" w:cs="Times New Roman"/>
              <w:b/>
              <w:sz w:val="20"/>
            </w:rPr>
            <w:t>IV ADR</w:t>
          </w:r>
          <w:r w:rsidRPr="00B922E1">
            <w:rPr>
              <w:rFonts w:ascii="Arial" w:eastAsia="Calibri" w:hAnsi="Arial" w:cs="Times New Roman"/>
              <w:b/>
              <w:sz w:val="20"/>
            </w:rPr>
            <w:t xml:space="preserve"> - </w:t>
          </w:r>
          <w:r w:rsidRPr="00B922E1">
            <w:rPr>
              <w:rFonts w:ascii="Arial" w:eastAsia="Calibri" w:hAnsi="Arial" w:cs="Times New Roman"/>
              <w:b/>
              <w:sz w:val="20"/>
            </w:rPr>
            <w:fldChar w:fldCharType="begin"/>
          </w:r>
          <w:r w:rsidRPr="00B922E1">
            <w:rPr>
              <w:rFonts w:ascii="Arial" w:eastAsia="Calibri" w:hAnsi="Arial" w:cs="Times New Roman"/>
              <w:b/>
              <w:sz w:val="20"/>
            </w:rPr>
            <w:instrText xml:space="preserve"> PAGE  \* Arabic  \* MERGEFORMAT </w:instrText>
          </w:r>
          <w:r w:rsidRPr="00B922E1">
            <w:rPr>
              <w:rFonts w:ascii="Arial" w:eastAsia="Calibri" w:hAnsi="Arial" w:cs="Times New Roman"/>
              <w:b/>
              <w:sz w:val="20"/>
            </w:rPr>
            <w:fldChar w:fldCharType="separate"/>
          </w:r>
          <w:r w:rsidR="00537B55">
            <w:rPr>
              <w:rFonts w:ascii="Arial" w:eastAsia="Calibri" w:hAnsi="Arial" w:cs="Times New Roman"/>
              <w:b/>
              <w:noProof/>
              <w:sz w:val="20"/>
            </w:rPr>
            <w:t>1</w:t>
          </w:r>
          <w:r w:rsidRPr="00B922E1">
            <w:rPr>
              <w:rFonts w:ascii="Arial" w:eastAsia="Calibri" w:hAnsi="Arial" w:cs="Times New Roman"/>
              <w:b/>
              <w:sz w:val="20"/>
            </w:rPr>
            <w:fldChar w:fldCharType="end"/>
          </w:r>
        </w:p>
      </w:tc>
      <w:tc>
        <w:tcPr>
          <w:tcW w:w="1404" w:type="pct"/>
          <w:shd w:val="clear" w:color="auto" w:fill="auto"/>
          <w:vAlign w:val="center"/>
        </w:tcPr>
        <w:p w:rsidR="004F4A07" w:rsidRPr="00B922E1" w:rsidRDefault="00AB4588" w:rsidP="00902FEE">
          <w:pPr>
            <w:tabs>
              <w:tab w:val="center" w:pos="1152"/>
              <w:tab w:val="center" w:pos="7920"/>
            </w:tabs>
            <w:jc w:val="right"/>
            <w:rPr>
              <w:rFonts w:ascii="Times New Roman" w:eastAsia="Calibri" w:hAnsi="Times New Roman" w:cs="Times New Roman"/>
              <w:b/>
              <w:sz w:val="24"/>
              <w:szCs w:val="24"/>
            </w:rPr>
          </w:pPr>
          <w:r>
            <w:rPr>
              <w:rFonts w:ascii="Arial" w:eastAsia="Calibri" w:hAnsi="Arial" w:cs="Times New Roman"/>
              <w:b/>
              <w:sz w:val="20"/>
            </w:rPr>
            <w:t>June 2020</w:t>
          </w:r>
        </w:p>
      </w:tc>
    </w:tr>
  </w:tbl>
  <w:p w:rsidR="004F4A07" w:rsidRPr="00B922E1" w:rsidRDefault="004F4A07" w:rsidP="004F4A07">
    <w:pPr>
      <w:pStyle w:val="Footer"/>
      <w:spacing w:line="80" w:lineRule="exact"/>
      <w:rPr>
        <w:rFonts w:ascii="Arial" w:hAnsi="Arial"/>
        <w:sz w:val="16"/>
      </w:rPr>
    </w:pPr>
  </w:p>
  <w:p w:rsidR="00CF70C5" w:rsidRPr="004F4A07" w:rsidRDefault="00CF70C5" w:rsidP="004F4A07">
    <w:pPr>
      <w:pStyle w:val="Footer"/>
      <w:spacing w:line="60" w:lineRule="exact"/>
      <w:rPr>
        <w:rFonts w:ascii="Arial" w:hAnsi="Arial" w:cs="Arial"/>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88" w:rsidRDefault="00AB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2FA" w:rsidRDefault="002532FA" w:rsidP="00403DC6">
      <w:r>
        <w:separator/>
      </w:r>
    </w:p>
  </w:footnote>
  <w:footnote w:type="continuationSeparator" w:id="0">
    <w:p w:rsidR="002532FA" w:rsidRDefault="002532FA" w:rsidP="004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88" w:rsidRDefault="00AB4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Layout w:type="fixed"/>
      <w:tblCellMar>
        <w:left w:w="29" w:type="dxa"/>
        <w:right w:w="29" w:type="dxa"/>
      </w:tblCellMar>
      <w:tblLook w:val="04A0" w:firstRow="1" w:lastRow="0" w:firstColumn="1" w:lastColumn="0" w:noHBand="0" w:noVBand="1"/>
    </w:tblPr>
    <w:tblGrid>
      <w:gridCol w:w="3801"/>
      <w:gridCol w:w="6823"/>
      <w:gridCol w:w="3776"/>
    </w:tblGrid>
    <w:tr w:rsidR="001C3A72" w:rsidRPr="00B922E1" w:rsidTr="00B56E56">
      <w:trPr>
        <w:trHeight w:hRule="exact" w:val="288"/>
      </w:trPr>
      <w:tc>
        <w:tcPr>
          <w:tcW w:w="1320" w:type="pct"/>
          <w:shd w:val="clear" w:color="auto" w:fill="auto"/>
          <w:vAlign w:val="center"/>
        </w:tcPr>
        <w:p w:rsidR="001C3A72" w:rsidRPr="00B922E1" w:rsidRDefault="00AB4588"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Part 2</w:t>
          </w:r>
        </w:p>
      </w:tc>
      <w:tc>
        <w:tcPr>
          <w:tcW w:w="2369" w:type="pct"/>
          <w:shd w:val="clear" w:color="auto" w:fill="auto"/>
          <w:vAlign w:val="center"/>
        </w:tcPr>
        <w:p w:rsidR="001C3A72" w:rsidRPr="00B922E1" w:rsidRDefault="001C3A72" w:rsidP="00902FEE">
          <w:pPr>
            <w:tabs>
              <w:tab w:val="center" w:pos="1152"/>
              <w:tab w:val="center" w:pos="7920"/>
            </w:tabs>
            <w:rPr>
              <w:rFonts w:ascii="Arial" w:eastAsia="Calibri" w:hAnsi="Arial" w:cs="Arial"/>
              <w:b/>
              <w:sz w:val="20"/>
              <w:szCs w:val="20"/>
            </w:rPr>
          </w:pPr>
        </w:p>
      </w:tc>
      <w:tc>
        <w:tcPr>
          <w:tcW w:w="1311" w:type="pct"/>
          <w:shd w:val="clear" w:color="auto" w:fill="auto"/>
          <w:vAlign w:val="center"/>
        </w:tcPr>
        <w:p w:rsidR="001C3A72" w:rsidRPr="00B922E1" w:rsidRDefault="00AB4588"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2021 Reporting</w:t>
          </w:r>
        </w:p>
      </w:tc>
    </w:tr>
    <w:tr w:rsidR="001C3A72" w:rsidRPr="00B922E1" w:rsidTr="00B56E56">
      <w:trPr>
        <w:trHeight w:hRule="exact" w:val="331"/>
      </w:trPr>
      <w:tc>
        <w:tcPr>
          <w:tcW w:w="1320" w:type="pct"/>
          <w:shd w:val="clear" w:color="auto" w:fill="auto"/>
          <w:vAlign w:val="bottom"/>
        </w:tcPr>
        <w:p w:rsidR="001C3A72" w:rsidRPr="00B922E1" w:rsidRDefault="00AB4588"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2369" w:type="pct"/>
          <w:shd w:val="clear" w:color="auto" w:fill="auto"/>
          <w:vAlign w:val="bottom"/>
        </w:tcPr>
        <w:p w:rsidR="001C3A72" w:rsidRPr="00B922E1" w:rsidRDefault="001C3A72" w:rsidP="00902FEE">
          <w:pPr>
            <w:tabs>
              <w:tab w:val="center" w:pos="1152"/>
              <w:tab w:val="center" w:pos="7920"/>
            </w:tabs>
            <w:jc w:val="center"/>
            <w:rPr>
              <w:rFonts w:ascii="Arial" w:eastAsia="Calibri" w:hAnsi="Arial" w:cs="Arial"/>
              <w:b/>
              <w:sz w:val="20"/>
              <w:szCs w:val="20"/>
            </w:rPr>
          </w:pPr>
        </w:p>
      </w:tc>
      <w:tc>
        <w:tcPr>
          <w:tcW w:w="1311" w:type="pct"/>
          <w:shd w:val="clear" w:color="auto" w:fill="auto"/>
          <w:vAlign w:val="bottom"/>
        </w:tcPr>
        <w:p w:rsidR="001C3A72" w:rsidRPr="00B922E1" w:rsidRDefault="00AB4588"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IV</w:t>
          </w:r>
        </w:p>
      </w:tc>
    </w:tr>
    <w:tr w:rsidR="001C3A72" w:rsidRPr="00B922E1" w:rsidTr="00B56E56">
      <w:trPr>
        <w:trHeight w:hRule="exact" w:val="288"/>
      </w:trPr>
      <w:tc>
        <w:tcPr>
          <w:tcW w:w="5000" w:type="pct"/>
          <w:gridSpan w:val="3"/>
          <w:shd w:val="clear" w:color="auto" w:fill="auto"/>
          <w:vAlign w:val="center"/>
        </w:tcPr>
        <w:p w:rsidR="001C3A72" w:rsidRPr="00B922E1" w:rsidRDefault="00AB4588" w:rsidP="00902FEE">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 - Account Attribute Definition Report</w:t>
          </w:r>
        </w:p>
      </w:tc>
    </w:tr>
  </w:tbl>
  <w:tbl>
    <w:tblPr>
      <w:tblStyle w:val="TableGrid"/>
      <w:tblW w:w="14400" w:type="dxa"/>
      <w:shd w:val="clear" w:color="auto" w:fill="EEECE1" w:themeFill="background2"/>
      <w:tblLayout w:type="fixed"/>
      <w:tblCellMar>
        <w:left w:w="29" w:type="dxa"/>
        <w:right w:w="29" w:type="dxa"/>
      </w:tblCellMar>
      <w:tblLook w:val="04A0" w:firstRow="1" w:lastRow="0" w:firstColumn="1" w:lastColumn="0" w:noHBand="0" w:noVBand="1"/>
    </w:tblPr>
    <w:tblGrid>
      <w:gridCol w:w="2161"/>
      <w:gridCol w:w="1440"/>
      <w:gridCol w:w="5042"/>
      <w:gridCol w:w="2881"/>
      <w:gridCol w:w="721"/>
      <w:gridCol w:w="1293"/>
      <w:gridCol w:w="862"/>
    </w:tblGrid>
    <w:tr w:rsidR="00CF70C5" w:rsidRPr="003C088B" w:rsidTr="00733544">
      <w:trPr>
        <w:trHeight w:val="541"/>
      </w:trPr>
      <w:tc>
        <w:tcPr>
          <w:tcW w:w="2165"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Name</w:t>
          </w:r>
        </w:p>
      </w:tc>
      <w:tc>
        <w:tcPr>
          <w:tcW w:w="1443"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Short</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Name</w:t>
          </w:r>
        </w:p>
      </w:tc>
      <w:tc>
        <w:tcPr>
          <w:tcW w:w="5052"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Definition</w:t>
          </w:r>
        </w:p>
      </w:tc>
      <w:tc>
        <w:tcPr>
          <w:tcW w:w="2887"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Domain</w:t>
          </w:r>
        </w:p>
      </w:tc>
      <w:tc>
        <w:tcPr>
          <w:tcW w:w="722"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Syst</w:t>
          </w:r>
          <w:r>
            <w:rPr>
              <w:rFonts w:ascii="Times New Roman" w:hAnsi="Times New Roman" w:cs="Times New Roman"/>
              <w:b/>
              <w:sz w:val="20"/>
              <w:szCs w:val="20"/>
            </w:rPr>
            <w:t>em</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Chars</w:t>
          </w:r>
        </w:p>
      </w:tc>
      <w:tc>
        <w:tcPr>
          <w:tcW w:w="1296"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Reference</w:t>
          </w:r>
        </w:p>
      </w:tc>
      <w:tc>
        <w:tcPr>
          <w:tcW w:w="864"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Supplied</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By</w:t>
          </w:r>
        </w:p>
      </w:tc>
    </w:tr>
  </w:tbl>
  <w:p w:rsidR="00CF70C5" w:rsidRDefault="00CF70C5" w:rsidP="008425B9">
    <w:pPr>
      <w:pStyle w:val="Header"/>
      <w:tabs>
        <w:tab w:val="clear" w:pos="4680"/>
        <w:tab w:val="right" w:pos="2160"/>
        <w:tab w:val="right" w:pos="3456"/>
        <w:tab w:val="right" w:pos="11520"/>
        <w:tab w:val="right" w:pos="12672"/>
        <w:tab w:val="right" w:pos="13536"/>
      </w:tabs>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4588" w:rsidRDefault="00AB45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6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71"/>
    <w:rsid w:val="00041CA6"/>
    <w:rsid w:val="00042790"/>
    <w:rsid w:val="0008795A"/>
    <w:rsid w:val="00142BF7"/>
    <w:rsid w:val="00185D90"/>
    <w:rsid w:val="00187FFA"/>
    <w:rsid w:val="001B1379"/>
    <w:rsid w:val="001C3A72"/>
    <w:rsid w:val="00205BBC"/>
    <w:rsid w:val="002532FA"/>
    <w:rsid w:val="00393D1A"/>
    <w:rsid w:val="003C088B"/>
    <w:rsid w:val="003E58BF"/>
    <w:rsid w:val="003F084C"/>
    <w:rsid w:val="00403DC6"/>
    <w:rsid w:val="0044768A"/>
    <w:rsid w:val="00452820"/>
    <w:rsid w:val="0046428D"/>
    <w:rsid w:val="004872A9"/>
    <w:rsid w:val="004F4A07"/>
    <w:rsid w:val="0052482A"/>
    <w:rsid w:val="00534202"/>
    <w:rsid w:val="00537B55"/>
    <w:rsid w:val="0055598D"/>
    <w:rsid w:val="005F6FB3"/>
    <w:rsid w:val="00615872"/>
    <w:rsid w:val="00621847"/>
    <w:rsid w:val="00671480"/>
    <w:rsid w:val="00697CFD"/>
    <w:rsid w:val="006B5C9D"/>
    <w:rsid w:val="006D4F9F"/>
    <w:rsid w:val="00733544"/>
    <w:rsid w:val="007446E3"/>
    <w:rsid w:val="00753F71"/>
    <w:rsid w:val="007A021F"/>
    <w:rsid w:val="007D4E2A"/>
    <w:rsid w:val="008425B9"/>
    <w:rsid w:val="008F6EA2"/>
    <w:rsid w:val="00902184"/>
    <w:rsid w:val="009711B0"/>
    <w:rsid w:val="009848D4"/>
    <w:rsid w:val="00A048F7"/>
    <w:rsid w:val="00A352CB"/>
    <w:rsid w:val="00A80AF6"/>
    <w:rsid w:val="00A9790A"/>
    <w:rsid w:val="00AA7A11"/>
    <w:rsid w:val="00AB4588"/>
    <w:rsid w:val="00AC4FCF"/>
    <w:rsid w:val="00B13010"/>
    <w:rsid w:val="00B16E7C"/>
    <w:rsid w:val="00B56E56"/>
    <w:rsid w:val="00BA2DE1"/>
    <w:rsid w:val="00BC031E"/>
    <w:rsid w:val="00C740D2"/>
    <w:rsid w:val="00CF1BBE"/>
    <w:rsid w:val="00CF70C5"/>
    <w:rsid w:val="00DA4E84"/>
    <w:rsid w:val="00DF6F20"/>
    <w:rsid w:val="00E0124C"/>
    <w:rsid w:val="00E53EE0"/>
    <w:rsid w:val="00E76A38"/>
    <w:rsid w:val="00E87017"/>
    <w:rsid w:val="00EA470D"/>
    <w:rsid w:val="00EE749D"/>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6C6B3B0-8F23-4217-9A81-8DA18C3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C6"/>
    <w:pPr>
      <w:tabs>
        <w:tab w:val="center" w:pos="4680"/>
        <w:tab w:val="right" w:pos="9360"/>
      </w:tabs>
    </w:pPr>
  </w:style>
  <w:style w:type="character" w:customStyle="1" w:styleId="HeaderChar">
    <w:name w:val="Header Char"/>
    <w:basedOn w:val="DefaultParagraphFont"/>
    <w:link w:val="Header"/>
    <w:uiPriority w:val="99"/>
    <w:rsid w:val="00403DC6"/>
  </w:style>
  <w:style w:type="paragraph" w:styleId="Footer">
    <w:name w:val="footer"/>
    <w:basedOn w:val="Normal"/>
    <w:link w:val="FooterChar"/>
    <w:uiPriority w:val="99"/>
    <w:unhideWhenUsed/>
    <w:rsid w:val="00403DC6"/>
    <w:pPr>
      <w:tabs>
        <w:tab w:val="center" w:pos="4680"/>
        <w:tab w:val="right" w:pos="9360"/>
      </w:tabs>
    </w:pPr>
  </w:style>
  <w:style w:type="character" w:customStyle="1" w:styleId="FooterChar">
    <w:name w:val="Footer Char"/>
    <w:basedOn w:val="DefaultParagraphFont"/>
    <w:link w:val="Footer"/>
    <w:uiPriority w:val="99"/>
    <w:rsid w:val="00403DC6"/>
  </w:style>
  <w:style w:type="table" w:styleId="TableGrid">
    <w:name w:val="Table Grid"/>
    <w:basedOn w:val="TableNormal"/>
    <w:uiPriority w:val="59"/>
    <w:rsid w:val="0040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8BF"/>
    <w:rPr>
      <w:rFonts w:ascii="Tahoma" w:hAnsi="Tahoma" w:cs="Tahoma"/>
      <w:sz w:val="16"/>
      <w:szCs w:val="16"/>
    </w:rPr>
  </w:style>
  <w:style w:type="character" w:customStyle="1" w:styleId="BalloonTextChar">
    <w:name w:val="Balloon Text Char"/>
    <w:basedOn w:val="DefaultParagraphFont"/>
    <w:link w:val="BalloonText"/>
    <w:uiPriority w:val="99"/>
    <w:semiHidden/>
    <w:rsid w:val="003E58BF"/>
    <w:rPr>
      <w:rFonts w:ascii="Tahoma" w:hAnsi="Tahoma" w:cs="Tahoma"/>
      <w:sz w:val="16"/>
      <w:szCs w:val="16"/>
    </w:rPr>
  </w:style>
  <w:style w:type="paragraph" w:styleId="PlainText">
    <w:name w:val="Plain Text"/>
    <w:basedOn w:val="Normal"/>
    <w:link w:val="PlainTextChar"/>
    <w:uiPriority w:val="99"/>
    <w:unhideWhenUsed/>
    <w:rsid w:val="00CF70C5"/>
    <w:rPr>
      <w:rFonts w:ascii="Consolas" w:hAnsi="Consolas"/>
      <w:sz w:val="21"/>
      <w:szCs w:val="21"/>
    </w:rPr>
  </w:style>
  <w:style w:type="character" w:customStyle="1" w:styleId="PlainTextChar">
    <w:name w:val="Plain Text Char"/>
    <w:basedOn w:val="DefaultParagraphFont"/>
    <w:link w:val="PlainText"/>
    <w:uiPriority w:val="99"/>
    <w:rsid w:val="00CF70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David K. Linscott II</cp:lastModifiedBy>
  <cp:revision>2</cp:revision>
  <dcterms:created xsi:type="dcterms:W3CDTF">2020-05-22T18:21:00Z</dcterms:created>
  <dcterms:modified xsi:type="dcterms:W3CDTF">2020-05-22T18:21:00Z</dcterms:modified>
  <cp:contentStatus/>
</cp:coreProperties>
</file>